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6"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/>
          <w:sz w:val="28"/>
          <w:szCs w:val="28"/>
          <w:lang w:val="en-US" w:eastAsia="en-US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en-US" w:eastAsia="en-US"/>
        </w:rPr>
        <w:t xml:space="preserve">Информация о результатах 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en-US"/>
        </w:rPr>
        <w:t xml:space="preserve">проверки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en-US" w:eastAsia="en-US"/>
        </w:rPr>
        <w:t xml:space="preserve">, проведенной 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en-US"/>
        </w:rPr>
        <w:t xml:space="preserve">в </w:t>
      </w:r>
      <w:r>
        <w:rPr>
          <w:rFonts w:ascii="Times New Roman" w:hAnsi="Times New Roman"/>
          <w:b/>
          <w:sz w:val="28"/>
          <w:szCs w:val="28"/>
        </w:rPr>
        <w:t xml:space="preserve">Обществе с ограниченной ответственностью «ИРЗ-Фотон»</w:t>
      </w:r>
      <w:r>
        <w:rPr>
          <w:rFonts w:ascii="Times New Roman" w:hAnsi="Times New Roman"/>
          <w:b/>
          <w:sz w:val="28"/>
          <w:szCs w:val="28"/>
          <w:lang w:val="en-US" w:eastAsia="en-US"/>
        </w:rPr>
      </w:r>
      <w:r>
        <w:rPr>
          <w:rFonts w:ascii="Times New Roman" w:hAnsi="Times New Roman"/>
          <w:b/>
          <w:sz w:val="28"/>
          <w:szCs w:val="28"/>
          <w:lang w:val="en-US" w:eastAsia="en-US"/>
        </w:rPr>
      </w:r>
    </w:p>
    <w:p>
      <w:pPr>
        <w:pStyle w:val="616"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8"/>
          <w:szCs w:val="28"/>
          <w:lang w:val="en-US" w:eastAsia="en-US"/>
        </w:rPr>
      </w:pPr>
      <w:r>
        <w:rPr>
          <w:rFonts w:ascii="Times New Roman" w:hAnsi="Times New Roman"/>
          <w:sz w:val="28"/>
          <w:szCs w:val="28"/>
          <w:lang w:val="en-US" w:eastAsia="en-US"/>
        </w:rPr>
      </w:r>
      <w:r>
        <w:rPr>
          <w:rFonts w:ascii="Times New Roman" w:hAnsi="Times New Roman"/>
          <w:sz w:val="28"/>
          <w:szCs w:val="28"/>
          <w:lang w:val="en-US" w:eastAsia="en-US"/>
        </w:rPr>
      </w:r>
    </w:p>
    <w:p>
      <w:pPr>
        <w:pStyle w:val="616"/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val="en-US" w:eastAsia="en-US"/>
        </w:rPr>
        <w:t xml:space="preserve">На основании приказа Управления Федерального казначейства по Удмуртской </w:t>
      </w:r>
      <w:r>
        <w:rPr>
          <w:rFonts w:ascii="Times New Roman" w:hAnsi="Times New Roman"/>
          <w:sz w:val="28"/>
          <w:szCs w:val="28"/>
          <w:lang w:val="en-US" w:eastAsia="en-US"/>
        </w:rPr>
        <w:t xml:space="preserve">Республике </w:t>
      </w:r>
      <w:r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03</w:t>
      </w:r>
      <w:r>
        <w:rPr>
          <w:rFonts w:ascii="Times New Roman" w:hAnsi="Times New Roman"/>
          <w:sz w:val="28"/>
          <w:szCs w:val="28"/>
        </w:rPr>
        <w:t xml:space="preserve">.0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.202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 № </w:t>
      </w:r>
      <w:r>
        <w:rPr>
          <w:rFonts w:ascii="Times New Roman" w:hAnsi="Times New Roman"/>
          <w:sz w:val="28"/>
          <w:szCs w:val="28"/>
        </w:rPr>
        <w:t xml:space="preserve">98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в</w:t>
      </w:r>
      <w:r>
        <w:rPr>
          <w:rFonts w:ascii="Times New Roman" w:hAnsi="Times New Roman"/>
          <w:sz w:val="28"/>
          <w:szCs w:val="28"/>
        </w:rPr>
        <w:t xml:space="preserve"> соответствии с пунктом 17</w:t>
      </w:r>
      <w:r>
        <w:rPr>
          <w:rFonts w:ascii="Times New Roman" w:hAnsi="Times New Roman"/>
          <w:sz w:val="28"/>
          <w:szCs w:val="28"/>
        </w:rPr>
        <w:t xml:space="preserve"> Плана контрольных мероприятий Управления Федерального</w:t>
      </w:r>
      <w:r>
        <w:rPr>
          <w:rFonts w:ascii="Times New Roman" w:hAnsi="Times New Roman"/>
          <w:sz w:val="28"/>
          <w:szCs w:val="28"/>
        </w:rPr>
        <w:t xml:space="preserve"> казначейства </w:t>
      </w:r>
      <w:r>
        <w:rPr>
          <w:rFonts w:ascii="Times New Roman" w:hAnsi="Times New Roman"/>
          <w:sz w:val="28"/>
          <w:szCs w:val="28"/>
        </w:rPr>
        <w:t xml:space="preserve">по Удмуртской Республике на 2026</w:t>
      </w:r>
      <w:r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sz w:val="28"/>
          <w:szCs w:val="28"/>
          <w:lang w:val="en-US" w:eastAsia="en-US"/>
        </w:rPr>
        <w:t xml:space="preserve">проведена </w:t>
      </w:r>
      <w:r>
        <w:rPr>
          <w:rFonts w:ascii="Times New Roman" w:hAnsi="Times New Roman"/>
          <w:sz w:val="28"/>
          <w:szCs w:val="28"/>
          <w:lang w:eastAsia="en-US"/>
        </w:rPr>
        <w:t xml:space="preserve">плановая выездная проверка </w:t>
      </w:r>
      <w:r>
        <w:rPr>
          <w:rFonts w:ascii="Times New Roman" w:hAnsi="Times New Roman"/>
          <w:sz w:val="28"/>
          <w:szCs w:val="28"/>
          <w:lang w:eastAsia="en-US"/>
        </w:rPr>
        <w:t xml:space="preserve">предоставле</w:t>
      </w:r>
      <w:r>
        <w:rPr>
          <w:rFonts w:ascii="Times New Roman" w:hAnsi="Times New Roman"/>
          <w:sz w:val="28"/>
          <w:szCs w:val="28"/>
          <w:lang w:eastAsia="en-US"/>
        </w:rPr>
        <w:t xml:space="preserve">ния и использования субсидий, предоставленных из резервного фонда Правительства Российской Федерации федеральному государственному автономному учреждению «Российский фонд технологического развития» в целях стимулирования деятельности в сфере промышленности</w:t>
      </w:r>
      <w:r>
        <w:rPr>
          <w:rFonts w:ascii="Times New Roman" w:hAnsi="Times New Roman"/>
          <w:sz w:val="28"/>
          <w:szCs w:val="28"/>
          <w:lang w:eastAsia="en-US"/>
        </w:rPr>
        <w:t xml:space="preserve">,</w:t>
      </w:r>
      <w:r>
        <w:rPr>
          <w:rFonts w:ascii="Times New Roman" w:hAnsi="Times New Roman"/>
          <w:sz w:val="28"/>
          <w:szCs w:val="28"/>
          <w:lang w:eastAsia="en-US"/>
        </w:rPr>
        <w:t xml:space="preserve"> за 2025 год в ООО «ИРЗ-Фотон».</w:t>
      </w:r>
      <w:r>
        <w:rPr>
          <w:rFonts w:ascii="Times New Roman" w:hAnsi="Times New Roman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after="0" w:line="240" w:lineRule="auto"/>
        <w:tabs>
          <w:tab w:val="left" w:pos="567" w:leader="none"/>
          <w:tab w:val="left" w:pos="709" w:leader="none"/>
        </w:tabs>
        <w:rPr>
          <w:rFonts w:ascii="Times New Roman" w:hAnsi="Times New Roman"/>
          <w:bCs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bCs/>
          <w:color w:val="000000"/>
          <w:sz w:val="28"/>
          <w:szCs w:val="28"/>
          <w:lang w:val="en-US" w:eastAsia="en-US"/>
        </w:rPr>
        <w:t xml:space="preserve">Про</w:t>
      </w:r>
      <w:r>
        <w:rPr>
          <w:rFonts w:ascii="Times New Roman" w:hAnsi="Times New Roman"/>
          <w:bCs/>
          <w:color w:val="000000"/>
          <w:sz w:val="28"/>
          <w:szCs w:val="28"/>
          <w:lang w:eastAsia="en-US"/>
        </w:rPr>
        <w:t xml:space="preserve">в</w:t>
      </w:r>
      <w:r>
        <w:rPr>
          <w:rFonts w:ascii="Times New Roman" w:hAnsi="Times New Roman"/>
          <w:bCs/>
          <w:color w:val="000000"/>
          <w:sz w:val="28"/>
          <w:szCs w:val="28"/>
          <w:lang w:val="en-US" w:eastAsia="en-US"/>
        </w:rPr>
        <w:t xml:space="preserve">еденной проверкой</w:t>
      </w:r>
      <w:r>
        <w:rPr>
          <w:rFonts w:ascii="Times New Roman" w:hAnsi="Times New Roman"/>
          <w:bCs/>
          <w:color w:val="000000"/>
          <w:sz w:val="28"/>
          <w:szCs w:val="28"/>
          <w:lang w:eastAsia="en-US"/>
        </w:rPr>
        <w:t xml:space="preserve"> установлены отдельные нарушения бюджетного законодательства и нормативных правовых актов, регулирующих бюджетные правоотношения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.</w:t>
      </w:r>
      <w:r>
        <w:rPr>
          <w:rFonts w:ascii="Times New Roman" w:hAnsi="Times New Roman"/>
          <w:bCs/>
          <w:color w:val="000000"/>
          <w:sz w:val="28"/>
          <w:szCs w:val="28"/>
          <w:lang w:eastAsia="en-US"/>
        </w:rPr>
      </w:r>
      <w:r>
        <w:rPr>
          <w:rFonts w:ascii="Times New Roman" w:hAnsi="Times New Roman"/>
          <w:bCs/>
          <w:color w:val="000000"/>
          <w:sz w:val="28"/>
          <w:szCs w:val="28"/>
          <w:lang w:eastAsia="en-US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pPr>
      <w:spacing w:after="160" w:line="259" w:lineRule="auto"/>
    </w:pPr>
    <w:rPr>
      <w:sz w:val="22"/>
      <w:szCs w:val="22"/>
      <w:lang w:val="ru-RU" w:eastAsia="en-US" w:bidi="ar-SA"/>
    </w:rPr>
  </w:style>
  <w:style w:type="character" w:styleId="617">
    <w:name w:val="Основной шрифт абзаца"/>
    <w:next w:val="617"/>
    <w:link w:val="616"/>
    <w:uiPriority w:val="1"/>
    <w:unhideWhenUsed/>
  </w:style>
  <w:style w:type="table" w:styleId="618">
    <w:name w:val="Обычная таблица"/>
    <w:next w:val="618"/>
    <w:link w:val="616"/>
    <w:uiPriority w:val="99"/>
    <w:semiHidden/>
    <w:unhideWhenUsed/>
    <w:tblPr/>
  </w:style>
  <w:style w:type="numbering" w:styleId="619">
    <w:name w:val="Нет списка"/>
    <w:next w:val="619"/>
    <w:link w:val="616"/>
    <w:uiPriority w:val="99"/>
    <w:semiHidden/>
    <w:unhideWhenUsed/>
  </w:style>
  <w:style w:type="character" w:styleId="669" w:default="1">
    <w:name w:val="Default Paragraph Font"/>
    <w:uiPriority w:val="1"/>
    <w:semiHidden/>
    <w:unhideWhenUsed/>
  </w:style>
  <w:style w:type="numbering" w:styleId="670" w:default="1">
    <w:name w:val="No List"/>
    <w:uiPriority w:val="99"/>
    <w:semiHidden/>
    <w:unhideWhenUsed/>
  </w:style>
  <w:style w:type="table" w:styleId="67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Бекмачева Элеонора Аркадьевна</dc:creator>
  <cp:lastModifiedBy>Марилова Наталья Юрьевна</cp:lastModifiedBy>
  <cp:revision>6</cp:revision>
  <dcterms:created xsi:type="dcterms:W3CDTF">2025-09-23T10:14:00Z</dcterms:created>
  <dcterms:modified xsi:type="dcterms:W3CDTF">2026-08-24T05:53:14Z</dcterms:modified>
  <cp:version>983040</cp:version>
</cp:coreProperties>
</file>